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BA8046">
      <w:pPr>
        <w:spacing w:before="480" w:after="480" w:line="288" w:lineRule="auto"/>
        <w:ind w:left="0"/>
        <w:rPr>
          <w:rFonts w:hint="eastAsia" w:ascii="Arial" w:hAnsi="Arial" w:eastAsia="等线" w:cs="Arial"/>
          <w:b/>
          <w:sz w:val="52"/>
          <w:lang w:val="en-US" w:eastAsia="zh-CN"/>
        </w:rPr>
      </w:pPr>
      <w:r>
        <w:rPr>
          <w:rFonts w:hint="eastAsia" w:ascii="Arial" w:hAnsi="Arial" w:eastAsia="等线" w:cs="Arial"/>
          <w:b/>
          <w:sz w:val="52"/>
          <w:lang w:val="en-US" w:eastAsia="zh-CN"/>
        </w:rPr>
        <w:t>SLEEK复合手术室专用三叠门      应用案例--   上海临床研究中心</w:t>
      </w:r>
    </w:p>
    <w:p w14:paraId="67328620">
      <w:pPr>
        <w:spacing w:before="480" w:after="480" w:line="288" w:lineRule="auto"/>
        <w:ind w:left="0"/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3299460</wp:posOffset>
            </wp:positionH>
            <wp:positionV relativeFrom="paragraph">
              <wp:posOffset>1704975</wp:posOffset>
            </wp:positionV>
            <wp:extent cx="2085975" cy="2714625"/>
            <wp:effectExtent l="0" t="0" r="1905" b="13335"/>
            <wp:wrapTight wrapText="bothSides">
              <wp:wrapPolygon>
                <wp:start x="0" y="0"/>
                <wp:lineTo x="0" y="21464"/>
                <wp:lineTo x="21462" y="21464"/>
                <wp:lineTo x="21462" y="0"/>
                <wp:lineTo x="0" y="0"/>
              </wp:wrapPolygon>
            </wp:wrapTight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1713865</wp:posOffset>
            </wp:positionV>
            <wp:extent cx="3315970" cy="2378075"/>
            <wp:effectExtent l="0" t="0" r="6350" b="14605"/>
            <wp:wrapTight wrapText="bothSides">
              <wp:wrapPolygon>
                <wp:start x="0" y="0"/>
                <wp:lineTo x="0" y="21456"/>
                <wp:lineTo x="21542" y="21456"/>
                <wp:lineTo x="21542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15970" cy="237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eastAsia="等线" w:cs="Arial"/>
          <w:sz w:val="22"/>
        </w:rPr>
        <w:t>上海临床研究中心作为上海市重点建设的公立研究型医院，核心定位为聚焦重大疾病临床研究与精准诊疗成果转化。为适配其已中标入驻的联影术中影像设备，联影医疗针对性选用SLEEK自动防辐射三套叠门系统，目前该系统已在中心复合手术室顺利</w:t>
      </w:r>
      <w:r>
        <w:rPr>
          <w:rFonts w:hint="eastAsia" w:ascii="Arial" w:hAnsi="Arial" w:eastAsia="等线" w:cs="Arial"/>
          <w:sz w:val="22"/>
          <w:lang w:val="en-US" w:eastAsia="zh-CN"/>
        </w:rPr>
        <w:t>安装完成</w:t>
      </w:r>
      <w:r>
        <w:rPr>
          <w:rFonts w:ascii="Arial" w:hAnsi="Arial" w:eastAsia="等线" w:cs="Arial"/>
          <w:sz w:val="22"/>
        </w:rPr>
        <w:t>，与旗下术中滑轨CT（uCT 830 Hybrid）、术中核磁共振成像系统（uMR Omega）形成协同配套体系。其中，术中滑轨CT（uCT 830 Hybrid）具备术中实时影像导航功能，可精准定位手术部位，保障手术操作的精准性与规范性；术中核磁共振成像系统（uMR Omega）作为世界首款75cm超大孔径3.0T磁共振设备，拥有超高磁场均匀度及快速成像性能，可兼容特殊体型患者，同时适配复杂手术体位的扫描需求，两款设备均为复合手术室核心影像支撑装备。配套启用的SLEEK三套叠门采用两樘设计，关闭状态下可将复合手术室划分为两个独立操作空间，有效落实辐射防护规范，实现分区标准化操作；开启状态下可保障联影滑轨CT顺畅移出，与术中MRI等设备高效协同，为神经外科、骨科等复杂手术提供多模态影像支撑，助力精准手术实施。</w:t>
      </w:r>
      <w:bookmarkStart w:id="0" w:name="_GoBack"/>
      <w:bookmarkEnd w:id="0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01EAAC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81251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288E5D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724</Words>
  <Characters>786</Characters>
  <TotalTime>17</TotalTime>
  <ScaleCrop>false</ScaleCrop>
  <LinksUpToDate>false</LinksUpToDate>
  <CharactersWithSpaces>794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2026-02-27T08:20:00Z</dcterms:created>
  <dc:creator>Apache POI</dc:creator>
  <cp:lastModifiedBy>WPS_1608725614</cp:lastModifiedBy>
  <dcterms:modified xsi:type="dcterms:W3CDTF">2026-02-27T08:38:14Z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eyJoZGlkIjoiZmU2YjBlMzg3ODllOTZhMTkwMDRkNzk2YjFiOWEwMzkiLCJ1c2VySWQiOiIxMTU0MjEwMjU4In0=</vt:lpwstr>
  </property>
  <property fmtid="{D5CDD505-2E9C-101B-9397-08002B2CF9AE}" pid="3" name="KSOProductBuildVer">
    <vt:lpwstr>2052-12.1.0.25225</vt:lpwstr>
  </property>
  <property fmtid="{D5CDD505-2E9C-101B-9397-08002B2CF9AE}" pid="4" name="ICV">
    <vt:lpwstr>5128EC1C5BEE42479BB7A2DB1CBB1150_12</vt:lpwstr>
  </property>
</Properties>
</file>